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2B" w:rsidRPr="00505DCB" w:rsidRDefault="00D6102B" w:rsidP="00D610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5DCB">
        <w:rPr>
          <w:rFonts w:ascii="Arial" w:hAnsi="Arial" w:cs="Arial"/>
          <w:b/>
          <w:sz w:val="28"/>
          <w:szCs w:val="28"/>
        </w:rPr>
        <w:t>YABANCI DİLLER VE İNGİLİZCE HAZIRLIK OKULU</w:t>
      </w:r>
    </w:p>
    <w:p w:rsidR="002C2F9D" w:rsidRPr="00505DCB" w:rsidRDefault="00D6102B" w:rsidP="00D610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5DCB">
        <w:rPr>
          <w:rFonts w:ascii="Arial" w:hAnsi="Arial" w:cs="Arial"/>
          <w:b/>
          <w:sz w:val="28"/>
          <w:szCs w:val="28"/>
        </w:rPr>
        <w:t>İNGİLİZCE MUAFİYET KRİTERLERİ</w:t>
      </w:r>
    </w:p>
    <w:p w:rsidR="00D6102B" w:rsidRPr="00505DCB" w:rsidRDefault="00D6102B" w:rsidP="00505D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>Doğu Akdeniz Üniversitesi’n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deki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İngilizce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eğitim veren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programlara kayıt yaptırmış fakat geçerli bir İngilizce yeterlik belgesi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olmayan öğrencilerin</w:t>
      </w:r>
      <w:r w:rsidR="00D3312A" w:rsidRPr="00505DCB">
        <w:rPr>
          <w:rFonts w:ascii="Arial" w:hAnsi="Arial" w:cs="Arial"/>
          <w:color w:val="000000" w:themeColor="text1"/>
          <w:sz w:val="24"/>
          <w:szCs w:val="24"/>
        </w:rPr>
        <w:t>,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İngilizce Hazırlık Okulu </w:t>
      </w:r>
      <w:r w:rsidR="00D3312A" w:rsidRPr="00505DCB">
        <w:rPr>
          <w:rFonts w:ascii="Arial" w:hAnsi="Arial" w:cs="Arial"/>
          <w:color w:val="000000" w:themeColor="text1"/>
          <w:sz w:val="24"/>
          <w:szCs w:val="24"/>
        </w:rPr>
        <w:t xml:space="preserve">Yeterlik Sınavı’na girerek bölümlerinin gerektirdiği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başarı koşullarını yerine getirmesi gerekmektedir.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 xml:space="preserve">Geçerli herhangi bir dil (İngilizce) yeterlik belgesi sahibi öğrenciler için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Yabancı Diller ve İngilizce Hazırlık Okulu’nun öngördüğü muafiyet kriter değerleri ve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 xml:space="preserve">eşdeğer İngilizce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Hazırlık Okulu başarı koşulları aşağıda belirtil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miştir:</w:t>
      </w:r>
    </w:p>
    <w:p w:rsidR="00D6102B" w:rsidRPr="00505DCB" w:rsidRDefault="00D6102B" w:rsidP="00D6102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82"/>
        <w:gridCol w:w="3305"/>
        <w:gridCol w:w="3260"/>
      </w:tblGrid>
      <w:tr w:rsidR="00107D56" w:rsidRPr="00107D56" w:rsidTr="006F2C84">
        <w:tc>
          <w:tcPr>
            <w:tcW w:w="3182" w:type="dxa"/>
          </w:tcPr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DAÜ YDİHO İngilizce Yeterlik Sınavı</w:t>
            </w:r>
          </w:p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 xml:space="preserve">(en az </w:t>
            </w:r>
            <w:r w:rsidRPr="00107D56">
              <w:rPr>
                <w:rFonts w:ascii="Arial" w:hAnsi="Arial" w:cs="Arial"/>
                <w:b/>
                <w:sz w:val="24"/>
                <w:u w:val="single"/>
              </w:rPr>
              <w:t>%50</w:t>
            </w:r>
            <w:r w:rsidRPr="00107D56">
              <w:rPr>
                <w:rFonts w:ascii="Arial" w:hAnsi="Arial" w:cs="Arial"/>
                <w:b/>
                <w:sz w:val="24"/>
              </w:rPr>
              <w:t xml:space="preserve"> ile öğrenci kabul eden bölümler)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DAÜ YDİHO İngilizce Yeterlik Sınavı</w:t>
            </w:r>
          </w:p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 xml:space="preserve">(en az </w:t>
            </w:r>
            <w:r w:rsidRPr="00107D56">
              <w:rPr>
                <w:rFonts w:ascii="Arial" w:hAnsi="Arial" w:cs="Arial"/>
                <w:b/>
                <w:sz w:val="24"/>
                <w:u w:val="single"/>
              </w:rPr>
              <w:t>%60</w:t>
            </w:r>
            <w:r w:rsidRPr="00107D56">
              <w:rPr>
                <w:rFonts w:ascii="Arial" w:hAnsi="Arial" w:cs="Arial"/>
                <w:b/>
                <w:sz w:val="24"/>
              </w:rPr>
              <w:t xml:space="preserve"> ile öğrenci kabul eden bölümler)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DAÜ YDİHO İngilizce Yeterlik Sınavı</w:t>
            </w:r>
          </w:p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 xml:space="preserve">(en az </w:t>
            </w:r>
            <w:r w:rsidRPr="00107D56">
              <w:rPr>
                <w:rFonts w:ascii="Arial" w:hAnsi="Arial" w:cs="Arial"/>
                <w:b/>
                <w:sz w:val="24"/>
                <w:u w:val="single"/>
              </w:rPr>
              <w:t>%70</w:t>
            </w:r>
            <w:r w:rsidRPr="00107D56">
              <w:rPr>
                <w:rFonts w:ascii="Arial" w:hAnsi="Arial" w:cs="Arial"/>
                <w:b/>
                <w:sz w:val="24"/>
              </w:rPr>
              <w:t xml:space="preserve"> ile öğrenci kabul eden bölümler)</w:t>
            </w:r>
          </w:p>
        </w:tc>
      </w:tr>
      <w:tr w:rsidR="00107D56" w:rsidRPr="00107D56" w:rsidTr="006F2C84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IELTS</w:t>
            </w:r>
            <w:r w:rsidRPr="00107D56">
              <w:rPr>
                <w:rFonts w:ascii="Arial" w:hAnsi="Arial" w:cs="Arial"/>
                <w:sz w:val="24"/>
              </w:rPr>
              <w:t xml:space="preserve"> (en az 5.0)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IELTS</w:t>
            </w:r>
            <w:r w:rsidRPr="00107D56">
              <w:rPr>
                <w:rFonts w:ascii="Arial" w:hAnsi="Arial" w:cs="Arial"/>
                <w:sz w:val="24"/>
              </w:rPr>
              <w:t xml:space="preserve"> (en az 5.5)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 xml:space="preserve">(5.0 - Yeterlik Sınavı veya 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ENGL 181-182 dersleri)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IELTS</w:t>
            </w:r>
            <w:r w:rsidRPr="00107D56">
              <w:rPr>
                <w:rFonts w:ascii="Arial" w:hAnsi="Arial" w:cs="Arial"/>
                <w:sz w:val="24"/>
              </w:rPr>
              <w:t xml:space="preserve"> (en az 6.0)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(5.5 - Yeterlik Sınavı)</w:t>
            </w:r>
          </w:p>
        </w:tc>
      </w:tr>
      <w:tr w:rsidR="00107D56" w:rsidRPr="00107D56" w:rsidTr="006F2C84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TOEFL</w:t>
            </w:r>
            <w:r w:rsidR="006F2C8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6F2C84">
              <w:rPr>
                <w:rFonts w:ascii="Arial" w:hAnsi="Arial" w:cs="Arial"/>
                <w:b/>
                <w:sz w:val="24"/>
              </w:rPr>
              <w:t>iBT</w:t>
            </w:r>
            <w:proofErr w:type="spellEnd"/>
            <w:r w:rsidRPr="00107D56">
              <w:rPr>
                <w:rFonts w:ascii="Arial" w:hAnsi="Arial" w:cs="Arial"/>
                <w:sz w:val="24"/>
              </w:rPr>
              <w:t xml:space="preserve"> (en az 60)</w:t>
            </w:r>
          </w:p>
        </w:tc>
        <w:tc>
          <w:tcPr>
            <w:tcW w:w="3305" w:type="dxa"/>
          </w:tcPr>
          <w:p w:rsidR="00107D56" w:rsidRPr="00107D56" w:rsidRDefault="006F2C84" w:rsidP="00C86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TOEFL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</w:t>
            </w:r>
            <w:r w:rsidR="00107D56" w:rsidRPr="00107D56">
              <w:rPr>
                <w:rFonts w:ascii="Arial" w:hAnsi="Arial" w:cs="Arial"/>
                <w:b/>
                <w:sz w:val="24"/>
              </w:rPr>
              <w:t>BT</w:t>
            </w:r>
            <w:proofErr w:type="spellEnd"/>
            <w:r w:rsidR="00107D56" w:rsidRPr="00107D56">
              <w:rPr>
                <w:rFonts w:ascii="Arial" w:hAnsi="Arial" w:cs="Arial"/>
                <w:sz w:val="24"/>
              </w:rPr>
              <w:t xml:space="preserve"> (en az 65)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 xml:space="preserve">(60 - Yeterlik Sınavı veya 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ENGL 181-182 dersleri)</w:t>
            </w:r>
          </w:p>
        </w:tc>
        <w:tc>
          <w:tcPr>
            <w:tcW w:w="3260" w:type="dxa"/>
          </w:tcPr>
          <w:p w:rsidR="00107D56" w:rsidRPr="00107D56" w:rsidRDefault="006F2C84" w:rsidP="00C86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TOEFL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</w:t>
            </w:r>
            <w:r w:rsidR="00107D56" w:rsidRPr="00107D56">
              <w:rPr>
                <w:rFonts w:ascii="Arial" w:hAnsi="Arial" w:cs="Arial"/>
                <w:b/>
                <w:sz w:val="24"/>
              </w:rPr>
              <w:t>BT</w:t>
            </w:r>
            <w:proofErr w:type="spellEnd"/>
            <w:r w:rsidR="00107D56" w:rsidRPr="00107D56">
              <w:rPr>
                <w:rFonts w:ascii="Arial" w:hAnsi="Arial" w:cs="Arial"/>
                <w:b/>
                <w:sz w:val="24"/>
              </w:rPr>
              <w:t xml:space="preserve"> </w:t>
            </w:r>
            <w:r w:rsidR="00107D56" w:rsidRPr="00107D56">
              <w:rPr>
                <w:rFonts w:ascii="Arial" w:hAnsi="Arial" w:cs="Arial"/>
                <w:sz w:val="24"/>
              </w:rPr>
              <w:t>(en az 7</w:t>
            </w:r>
            <w:r>
              <w:rPr>
                <w:rFonts w:ascii="Arial" w:hAnsi="Arial" w:cs="Arial"/>
                <w:sz w:val="24"/>
              </w:rPr>
              <w:t>2</w:t>
            </w:r>
            <w:r w:rsidR="00107D56" w:rsidRPr="00107D56">
              <w:rPr>
                <w:rFonts w:ascii="Arial" w:hAnsi="Arial" w:cs="Arial"/>
                <w:sz w:val="24"/>
              </w:rPr>
              <w:t>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(65 - Yeterlik Sınavı)</w:t>
            </w:r>
          </w:p>
        </w:tc>
      </w:tr>
      <w:tr w:rsidR="006F2C84" w:rsidRPr="00107D56" w:rsidTr="006F2C84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TOEFL PBT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497)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TOEFL PBT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513)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(497: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TOEFL PBT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530)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(513: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6F2C84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TOEFL CBT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170)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TOEFL CBT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183)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(170: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TOEFL CBT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(minimum 197) (183: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</w:tc>
      </w:tr>
      <w:tr w:rsidR="006F2C84" w:rsidRPr="00107D56" w:rsidTr="006F2C84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City &amp; Guilds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 (minimum B1 Pass)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City &amp; Guilds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(minimum B1 First Class Pass)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(B1 Pass: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City &amp; Guilds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(minimum B2 Pass)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(B1 First Class Pass: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GCE/IGCE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GCE/IGCE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GCE/IGCE</w:t>
            </w:r>
            <w:r w:rsidRPr="00107D56">
              <w:rPr>
                <w:rFonts w:ascii="Arial" w:hAnsi="Arial" w:cs="Arial"/>
                <w:sz w:val="24"/>
              </w:rPr>
              <w:t xml:space="preserve"> (en az B)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 xml:space="preserve">FCE </w:t>
            </w:r>
            <w:r w:rsidRPr="00107D56">
              <w:rPr>
                <w:rFonts w:ascii="Arial" w:hAnsi="Arial" w:cs="Arial"/>
                <w:sz w:val="24"/>
              </w:rPr>
              <w:t>(en az C)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FCE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FCE</w:t>
            </w:r>
            <w:r w:rsidRPr="00107D56">
              <w:rPr>
                <w:rFonts w:ascii="Arial" w:hAnsi="Arial" w:cs="Arial"/>
                <w:sz w:val="24"/>
              </w:rPr>
              <w:t xml:space="preserve"> (en az B)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CPE/CAE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CPE/CAE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CPE/CAE</w:t>
            </w:r>
            <w:r w:rsidRPr="00107D56">
              <w:rPr>
                <w:rFonts w:ascii="Arial" w:hAnsi="Arial" w:cs="Arial"/>
                <w:sz w:val="24"/>
              </w:rPr>
              <w:t xml:space="preserve"> (en az B)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LCCI</w:t>
            </w:r>
            <w:r w:rsidR="006F2C84">
              <w:rPr>
                <w:rFonts w:ascii="Arial" w:hAnsi="Arial" w:cs="Arial"/>
                <w:b/>
                <w:sz w:val="24"/>
              </w:rPr>
              <w:t xml:space="preserve"> (ESP)</w:t>
            </w:r>
            <w:r w:rsidRPr="00107D56">
              <w:rPr>
                <w:rFonts w:ascii="Arial" w:hAnsi="Arial" w:cs="Arial"/>
                <w:sz w:val="24"/>
              </w:rPr>
              <w:t xml:space="preserve"> (en az Seviye 1 Distinction)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LCCI</w:t>
            </w:r>
            <w:r w:rsidR="006F2C84">
              <w:rPr>
                <w:rFonts w:ascii="Arial" w:hAnsi="Arial" w:cs="Arial"/>
                <w:b/>
                <w:sz w:val="24"/>
              </w:rPr>
              <w:t xml:space="preserve"> (ESP)</w:t>
            </w:r>
            <w:r w:rsidRPr="00107D56">
              <w:rPr>
                <w:rFonts w:ascii="Arial" w:hAnsi="Arial" w:cs="Arial"/>
                <w:sz w:val="24"/>
              </w:rPr>
              <w:t xml:space="preserve"> (en az Seviye 2 Pass)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(Seviye 1 Distinction - Yeterlik Sınavı veya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lastRenderedPageBreak/>
              <w:t>ENGL 181-182 dersleri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lastRenderedPageBreak/>
              <w:t>LCCI</w:t>
            </w:r>
            <w:r w:rsidR="006F2C84">
              <w:rPr>
                <w:rFonts w:ascii="Arial" w:hAnsi="Arial" w:cs="Arial"/>
                <w:b/>
                <w:sz w:val="24"/>
              </w:rPr>
              <w:t xml:space="preserve"> (ESP)</w:t>
            </w:r>
            <w:r w:rsidRPr="00107D56">
              <w:rPr>
                <w:rFonts w:ascii="Arial" w:hAnsi="Arial" w:cs="Arial"/>
                <w:sz w:val="24"/>
              </w:rPr>
              <w:t xml:space="preserve"> (en az Seviye 2 Distinction)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(Seviye 2 Pass - Yeterlik Sınavı)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lastRenderedPageBreak/>
              <w:t>WAEC/WASSCE/SSSCE/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NECO/NABTEB/ZIMSEC</w:t>
            </w:r>
            <w:r w:rsidRPr="00107D56">
              <w:rPr>
                <w:rFonts w:ascii="Arial" w:hAnsi="Arial" w:cs="Arial"/>
                <w:sz w:val="24"/>
              </w:rPr>
              <w:t xml:space="preserve"> (en az D7)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WAEC/ WASSCE/SSSCE/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NECO/NABTEB/ ZIMSEC</w:t>
            </w:r>
            <w:r w:rsidRPr="00107D56">
              <w:rPr>
                <w:rFonts w:ascii="Arial" w:hAnsi="Arial" w:cs="Arial"/>
                <w:sz w:val="24"/>
              </w:rPr>
              <w:t xml:space="preserve"> (en az C6)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 xml:space="preserve">(D7 - Yeterlik Sınavı veya 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ENGL 181-182 dersleri)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WAEC/ WASSCE/SSSCE/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NECO /NABTEB/ ZIMSEC</w:t>
            </w:r>
            <w:r w:rsidRPr="00107D56">
              <w:rPr>
                <w:rFonts w:ascii="Arial" w:hAnsi="Arial" w:cs="Arial"/>
                <w:sz w:val="24"/>
              </w:rPr>
              <w:t xml:space="preserve"> (en az C5)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(C6 - Yeterlik Sınavı)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UCE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(5-6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arası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UCE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(3-4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arası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UCE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(1-2)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NSC (</w:t>
            </w:r>
            <w:proofErr w:type="spellStart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ieb</w:t>
            </w:r>
            <w:proofErr w:type="spellEnd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)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(minimum 50%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4)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NSC (</w:t>
            </w:r>
            <w:proofErr w:type="spellStart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ieb</w:t>
            </w:r>
            <w:proofErr w:type="spellEnd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)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 (minimum 60%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5)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(50%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4: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NSC (</w:t>
            </w:r>
            <w:proofErr w:type="spellStart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ieb</w:t>
            </w:r>
            <w:proofErr w:type="spellEnd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)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(minimum 70%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6)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(60%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5: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ECZ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6)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ECZ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5)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ECZ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 (minimum 5)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HIGCSE/NSSC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3)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HIGCSE/NSSC 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2)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HIGCSE/NSSC 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2)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KNEC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C)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KNEC</w:t>
            </w:r>
            <w:proofErr w:type="gramStart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 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</w:t>
            </w:r>
            <w:proofErr w:type="gram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minimum C+) (C: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KNEC 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B-)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(C+: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NECTA (CSEE)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C)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NECTA (CSEE)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B)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(C: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NECTA (CSEE)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B+)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(B: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SAT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(Writing 340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Reading 400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740 Total)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SAT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(Writing 350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Reading 410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760 Total)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(Writing 340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Reading 400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740 Total: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SAT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(Writing 360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Reading 420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780 Total)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(Writing 350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Reading 410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760 Total: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NEAEA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C)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NEAEA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B)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NEAEA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B)</w:t>
            </w:r>
          </w:p>
        </w:tc>
      </w:tr>
    </w:tbl>
    <w:p w:rsidR="00107D56" w:rsidRDefault="00107D56" w:rsidP="00505DCB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312A" w:rsidRPr="00505DCB" w:rsidRDefault="003B174B" w:rsidP="00505DCB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Ö</w:t>
      </w:r>
      <w:r w:rsidR="00D3312A" w:rsidRPr="00505DCB">
        <w:rPr>
          <w:rFonts w:ascii="Arial" w:hAnsi="Arial" w:cs="Arial"/>
          <w:b/>
          <w:color w:val="000000" w:themeColor="text1"/>
          <w:sz w:val="24"/>
          <w:szCs w:val="24"/>
        </w:rPr>
        <w:t>NEMLİ BİLGİ</w:t>
      </w:r>
    </w:p>
    <w:p w:rsidR="00933D4D" w:rsidRPr="00505DCB" w:rsidRDefault="00933D4D" w:rsidP="00505DCB">
      <w:pPr>
        <w:pStyle w:val="ListParagraph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bCs/>
          <w:color w:val="000000" w:themeColor="text1"/>
          <w:sz w:val="24"/>
          <w:szCs w:val="24"/>
        </w:rPr>
        <w:t>Başka bir üniversitenin İngilizce Hazırlık Okulu’nu başarıyla tamamlamış veya  başka bir üniversitenin İngilizce Hazırlık Okulu’ndan muaf tutulduğunu belgeleyen (belgenin geçerliliği ve geçerlilik süresi incelenir) öğrencilere iki seçenek sunulur:</w:t>
      </w:r>
    </w:p>
    <w:p w:rsidR="003B174B" w:rsidRPr="003B174B" w:rsidRDefault="003B174B" w:rsidP="003B174B">
      <w:pPr>
        <w:spacing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174B">
        <w:rPr>
          <w:rFonts w:ascii="Arial" w:hAnsi="Arial" w:cs="Arial"/>
          <w:bCs/>
          <w:color w:val="000000" w:themeColor="text1"/>
          <w:sz w:val="24"/>
          <w:szCs w:val="24"/>
        </w:rPr>
        <w:t>a) ENGL181-182 derslerine devam edebilirler veya;</w:t>
      </w:r>
    </w:p>
    <w:p w:rsidR="003B174B" w:rsidRPr="00505DCB" w:rsidRDefault="003B174B" w:rsidP="003B174B">
      <w:pPr>
        <w:spacing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174B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b) DAÜ YDİHO İngilizce Yeterlik Sınavı II. Aşama’ya girip en az %60 alırlarsa ENGL191-192 derslerini alabilirler. En az %60 alamayan öğrencilerin kaydı yine ENGL181-182 derslerine yapılır.</w:t>
      </w:r>
    </w:p>
    <w:p w:rsidR="004849D9" w:rsidRPr="00505DCB" w:rsidRDefault="00D3312A" w:rsidP="00505DCB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Herhangi geçerli bir dil yeterlik belgesi olmayan tüm öğrencilerin İngilizce Yeterlik Sınavı I. Aşama’ya katılmaları gerekmektedir. </w:t>
      </w:r>
    </w:p>
    <w:p w:rsidR="00D3312A" w:rsidRPr="00505DCB" w:rsidRDefault="00D3312A" w:rsidP="00505DCB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>İngiliz</w:t>
      </w:r>
      <w:r w:rsidR="008A05C9">
        <w:rPr>
          <w:rFonts w:ascii="Arial" w:hAnsi="Arial" w:cs="Arial"/>
          <w:color w:val="000000" w:themeColor="text1"/>
          <w:sz w:val="24"/>
          <w:szCs w:val="24"/>
        </w:rPr>
        <w:t>ce Yeterlik Sınavı I. Aşama’da “Orta Üst D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üzey</w:t>
      </w:r>
      <w:r w:rsidR="008A05C9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de başarı gösteren öğrenciler, II. Aşama’ya girmeye hak kazanırlar. Bu sınava giren öğrencilerin, İngilizce Hazırlık Okulu’ndan muaf olabilmeleri için bölümlerinin gerektirdiği notları almaları gerekmektedir.</w:t>
      </w:r>
    </w:p>
    <w:p w:rsidR="00983726" w:rsidRPr="00505DCB" w:rsidRDefault="00983726" w:rsidP="00505DCB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>Başarı koşulu, birçok bölüm için en az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, bazı bölümler için en az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>60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ve Tıp</w:t>
      </w:r>
      <w:r w:rsidR="002B4DE2">
        <w:rPr>
          <w:rFonts w:ascii="Arial" w:hAnsi="Arial" w:cs="Arial"/>
          <w:color w:val="000000" w:themeColor="text1"/>
          <w:sz w:val="24"/>
          <w:szCs w:val="24"/>
        </w:rPr>
        <w:t>, Eczacılık ve Dişçilik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Fakülte</w:t>
      </w:r>
      <w:r w:rsidR="002B4DE2">
        <w:rPr>
          <w:rFonts w:ascii="Arial" w:hAnsi="Arial" w:cs="Arial"/>
          <w:color w:val="000000" w:themeColor="text1"/>
          <w:sz w:val="24"/>
          <w:szCs w:val="24"/>
        </w:rPr>
        <w:t>ler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i için ise en az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>70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’tir. Başarı koşulu en az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60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ve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70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olan bölümler aşağıda belirtilmiştir: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2845"/>
        <w:gridCol w:w="1955"/>
      </w:tblGrid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107D56" w:rsidRPr="000D0691" w:rsidRDefault="00107D56" w:rsidP="00107D56">
            <w:pPr>
              <w:pStyle w:val="Default"/>
              <w:spacing w:line="360" w:lineRule="auto"/>
              <w:rPr>
                <w:rFonts w:ascii="Arial" w:hAnsi="Arial" w:cs="Arial"/>
                <w:color w:val="auto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lang w:val="tr-TR"/>
              </w:rPr>
              <w:t>Bölüm Kodu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lang w:val="tr-TR"/>
              </w:rPr>
              <w:t xml:space="preserve">Bölüm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tr-TR"/>
              </w:rPr>
              <w:t>Başarı Koşulu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4B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Psikoloji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%60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4C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Mütercim Tercümanlık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%60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A1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1429AE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1429A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Yabancı Diller Eğitimi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%60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J1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Eczacılık</w:t>
            </w:r>
            <w:r w:rsidR="002B4DE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 xml:space="preserve"> Fakültesi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A9447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</w:t>
            </w:r>
            <w:r w:rsidR="00A9447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0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91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Tıp Fakültesi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%70</w:t>
            </w:r>
          </w:p>
        </w:tc>
      </w:tr>
      <w:tr w:rsidR="002B4DE2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DE2" w:rsidRDefault="00A94478" w:rsidP="002B4DE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L3 / L4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DE2" w:rsidRDefault="002B4DE2" w:rsidP="002B4DE2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Dişçilik Fakültesi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DE2" w:rsidRDefault="002B4DE2" w:rsidP="002B4DE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%70</w:t>
            </w:r>
          </w:p>
        </w:tc>
      </w:tr>
    </w:tbl>
    <w:p w:rsidR="00107D56" w:rsidRPr="000D0691" w:rsidRDefault="00107D56" w:rsidP="00107D56">
      <w:pPr>
        <w:spacing w:line="360" w:lineRule="auto"/>
        <w:ind w:left="360"/>
        <w:jc w:val="both"/>
        <w:rPr>
          <w:rFonts w:ascii="Arial" w:hAnsi="Arial" w:cs="Arial"/>
        </w:rPr>
      </w:pPr>
    </w:p>
    <w:p w:rsidR="00983726" w:rsidRPr="00505DCB" w:rsidRDefault="00983726" w:rsidP="004726FF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İngilizce Yeterlik Sınavı 2. Aşama’da başarılı olamayan öğrenciler, yerleşecekleri seviyeye göre, </w:t>
      </w:r>
      <w:r w:rsidRPr="00107D56">
        <w:rPr>
          <w:rFonts w:ascii="Arial" w:hAnsi="Arial" w:cs="Arial"/>
          <w:color w:val="000000" w:themeColor="text1"/>
          <w:sz w:val="24"/>
          <w:szCs w:val="24"/>
        </w:rPr>
        <w:t>en az bir dönem</w:t>
      </w:r>
      <w:r w:rsidR="002B4DE2">
        <w:rPr>
          <w:rFonts w:ascii="Arial" w:hAnsi="Arial" w:cs="Arial"/>
          <w:color w:val="000000" w:themeColor="text1"/>
          <w:sz w:val="24"/>
          <w:szCs w:val="24"/>
        </w:rPr>
        <w:t xml:space="preserve"> veya</w:t>
      </w:r>
      <w:r w:rsidRPr="00107D56">
        <w:rPr>
          <w:rFonts w:ascii="Arial" w:hAnsi="Arial" w:cs="Arial"/>
          <w:color w:val="000000" w:themeColor="text1"/>
          <w:sz w:val="24"/>
          <w:szCs w:val="24"/>
        </w:rPr>
        <w:t xml:space="preserve"> bir yıl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İngilizce Hazırlık Okulu’na devam ederler.</w:t>
      </w:r>
    </w:p>
    <w:p w:rsidR="007E0A30" w:rsidRPr="00505DCB" w:rsidRDefault="00107D56" w:rsidP="004726FF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4DE2">
        <w:rPr>
          <w:rFonts w:ascii="Arial" w:hAnsi="Arial" w:cs="Arial"/>
          <w:bCs/>
          <w:sz w:val="24"/>
          <w:szCs w:val="24"/>
        </w:rPr>
        <w:t xml:space="preserve">Yabancı Diller Eğitimi 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>bölümü öğrencileri için muafiyet</w:t>
      </w:r>
      <w:r w:rsidR="008A05C9" w:rsidRPr="002B4DE2">
        <w:rPr>
          <w:rFonts w:ascii="Arial" w:hAnsi="Arial" w:cs="Arial"/>
          <w:bCs/>
          <w:color w:val="000000" w:themeColor="text1"/>
          <w:sz w:val="24"/>
          <w:szCs w:val="24"/>
        </w:rPr>
        <w:t xml:space="preserve"> koşulu,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 xml:space="preserve"> DAÜ YDİHO İngilizce</w:t>
      </w:r>
      <w:r w:rsidR="007E0A30" w:rsidRPr="00505DC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>Yeterlik Sınavı 2. Aşama’da en az %</w:t>
      </w:r>
      <w:r w:rsidR="007E0A30" w:rsidRPr="002B4DE2">
        <w:rPr>
          <w:rFonts w:ascii="Arial" w:hAnsi="Arial" w:cs="Arial"/>
          <w:b/>
          <w:bCs/>
          <w:color w:val="000000" w:themeColor="text1"/>
          <w:sz w:val="24"/>
          <w:szCs w:val="24"/>
        </w:rPr>
        <w:t>60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 xml:space="preserve">’tır. </w:t>
      </w:r>
      <w:r w:rsidRPr="002B4DE2">
        <w:rPr>
          <w:rFonts w:ascii="Arial" w:hAnsi="Arial" w:cs="Arial"/>
          <w:bCs/>
          <w:sz w:val="24"/>
          <w:szCs w:val="24"/>
        </w:rPr>
        <w:t xml:space="preserve">Yabancı Diller Eğitimi 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>bölümü öğrencileri</w:t>
      </w:r>
      <w:r w:rsidR="002B4DE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E0A30" w:rsidRPr="00505DCB">
        <w:rPr>
          <w:rFonts w:ascii="Arial" w:hAnsi="Arial" w:cs="Arial"/>
          <w:bCs/>
          <w:color w:val="000000" w:themeColor="text1"/>
          <w:sz w:val="24"/>
          <w:szCs w:val="24"/>
        </w:rPr>
        <w:t>en az %</w:t>
      </w:r>
      <w:r w:rsidR="007E0A30"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="007E0A30" w:rsidRPr="00505DCB">
        <w:rPr>
          <w:rFonts w:ascii="Arial" w:hAnsi="Arial" w:cs="Arial"/>
          <w:bCs/>
          <w:color w:val="000000" w:themeColor="text1"/>
          <w:sz w:val="24"/>
          <w:szCs w:val="24"/>
        </w:rPr>
        <w:t xml:space="preserve"> ile başarılı olma koşulundan, müfredatlarında ENGL181-182 ve ENGL191-192 dersleri olmadığından dolayı yararlanamazlar.</w:t>
      </w:r>
    </w:p>
    <w:p w:rsidR="007E0A30" w:rsidRPr="00505DCB" w:rsidRDefault="007E0A30" w:rsidP="004726FF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Daha detaylı bilgi için </w:t>
      </w:r>
      <w:hyperlink r:id="rId5" w:history="1">
        <w:r w:rsidRPr="00505DCB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single"/>
          </w:rPr>
          <w:t>http://fleps.emu.edu.tr</w:t>
        </w:r>
      </w:hyperlink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adresini ziyaret edebilirsiniz.</w:t>
      </w:r>
    </w:p>
    <w:sectPr w:rsidR="007E0A30" w:rsidRPr="0050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36D"/>
    <w:multiLevelType w:val="hybridMultilevel"/>
    <w:tmpl w:val="61847B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A6FDE"/>
    <w:multiLevelType w:val="hybridMultilevel"/>
    <w:tmpl w:val="5CA803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63E7D"/>
    <w:multiLevelType w:val="hybridMultilevel"/>
    <w:tmpl w:val="EB76C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38A9"/>
    <w:multiLevelType w:val="hybridMultilevel"/>
    <w:tmpl w:val="83B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278"/>
    <w:multiLevelType w:val="hybridMultilevel"/>
    <w:tmpl w:val="2A402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7020D3"/>
    <w:multiLevelType w:val="hybridMultilevel"/>
    <w:tmpl w:val="7BDE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D7161"/>
    <w:multiLevelType w:val="hybridMultilevel"/>
    <w:tmpl w:val="E95CFE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2D7DC6"/>
    <w:multiLevelType w:val="hybridMultilevel"/>
    <w:tmpl w:val="0A2697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56395"/>
    <w:multiLevelType w:val="hybridMultilevel"/>
    <w:tmpl w:val="3F82D8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B"/>
    <w:rsid w:val="00070018"/>
    <w:rsid w:val="00107D56"/>
    <w:rsid w:val="00284281"/>
    <w:rsid w:val="0029398B"/>
    <w:rsid w:val="002B4DE2"/>
    <w:rsid w:val="002C2F9D"/>
    <w:rsid w:val="002C688B"/>
    <w:rsid w:val="00381F41"/>
    <w:rsid w:val="003B174B"/>
    <w:rsid w:val="003F08AF"/>
    <w:rsid w:val="004726FF"/>
    <w:rsid w:val="004849D9"/>
    <w:rsid w:val="004F61F8"/>
    <w:rsid w:val="00505DCB"/>
    <w:rsid w:val="005342C3"/>
    <w:rsid w:val="00696843"/>
    <w:rsid w:val="00697642"/>
    <w:rsid w:val="006F2C84"/>
    <w:rsid w:val="007479E5"/>
    <w:rsid w:val="007928CA"/>
    <w:rsid w:val="00795310"/>
    <w:rsid w:val="007B7CD0"/>
    <w:rsid w:val="007E0A30"/>
    <w:rsid w:val="008A05C9"/>
    <w:rsid w:val="00933D4D"/>
    <w:rsid w:val="00983726"/>
    <w:rsid w:val="00A94478"/>
    <w:rsid w:val="00BF6519"/>
    <w:rsid w:val="00C91BEE"/>
    <w:rsid w:val="00CA00D1"/>
    <w:rsid w:val="00D3312A"/>
    <w:rsid w:val="00D6102B"/>
    <w:rsid w:val="00DB643F"/>
    <w:rsid w:val="00E02F9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3F088-36D7-4C08-9C1E-3BB2ABEB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310"/>
    <w:pPr>
      <w:ind w:left="720"/>
      <w:contextualSpacing/>
    </w:pPr>
  </w:style>
  <w:style w:type="character" w:styleId="Hyperlink">
    <w:name w:val="Hyperlink"/>
    <w:uiPriority w:val="99"/>
    <w:rsid w:val="007E0A30"/>
    <w:rPr>
      <w:rFonts w:ascii="Verdana" w:hAnsi="Verdana" w:hint="default"/>
      <w:b/>
      <w:bCs/>
      <w:strike w:val="0"/>
      <w:dstrike w:val="0"/>
      <w:color w:val="666666"/>
      <w:sz w:val="30"/>
      <w:szCs w:val="30"/>
      <w:u w:val="none"/>
      <w:effect w:val="none"/>
      <w:bdr w:val="none" w:sz="0" w:space="0" w:color="auto" w:frame="1"/>
    </w:rPr>
  </w:style>
  <w:style w:type="paragraph" w:customStyle="1" w:styleId="Default">
    <w:name w:val="Default"/>
    <w:uiPriority w:val="99"/>
    <w:rsid w:val="0098372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F2C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ps.emu.edu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3710E-40EC-4F46-9D20-04B037DA0605}"/>
</file>

<file path=customXml/itemProps2.xml><?xml version="1.0" encoding="utf-8"?>
<ds:datastoreItem xmlns:ds="http://schemas.openxmlformats.org/officeDocument/2006/customXml" ds:itemID="{558231B4-E669-495D-B165-E0E4090F2E0B}"/>
</file>

<file path=customXml/itemProps3.xml><?xml version="1.0" encoding="utf-8"?>
<ds:datastoreItem xmlns:ds="http://schemas.openxmlformats.org/officeDocument/2006/customXml" ds:itemID="{1EECBD56-C226-42CC-841D-772477575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Ipek Menevis</dc:creator>
  <cp:keywords/>
  <dc:description/>
  <cp:lastModifiedBy>LENOVO</cp:lastModifiedBy>
  <cp:revision>4</cp:revision>
  <cp:lastPrinted>2017-03-30T21:16:00Z</cp:lastPrinted>
  <dcterms:created xsi:type="dcterms:W3CDTF">2017-04-19T17:14:00Z</dcterms:created>
  <dcterms:modified xsi:type="dcterms:W3CDTF">2019-07-04T10:29:00Z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